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3" w:rsidRPr="00CD6D48" w:rsidRDefault="00281EA3" w:rsidP="00281EA3">
      <w:pPr>
        <w:pStyle w:val="SemEspaamento"/>
        <w:jc w:val="center"/>
        <w:rPr>
          <w:b/>
          <w:color w:val="00B050"/>
          <w:sz w:val="32"/>
          <w:szCs w:val="27"/>
        </w:rPr>
      </w:pPr>
      <w:r w:rsidRPr="00CD6D48">
        <w:rPr>
          <w:b/>
          <w:color w:val="00B050"/>
          <w:sz w:val="32"/>
          <w:szCs w:val="27"/>
        </w:rPr>
        <w:t>Jejum e penitência</w:t>
      </w:r>
    </w:p>
    <w:p w:rsidR="00281EA3" w:rsidRPr="00CD6D48" w:rsidRDefault="00281EA3" w:rsidP="00281EA3">
      <w:pPr>
        <w:pStyle w:val="SemEspaamento"/>
        <w:jc w:val="both"/>
        <w:rPr>
          <w:b/>
          <w:i/>
          <w:color w:val="C00000"/>
          <w:sz w:val="27"/>
          <w:szCs w:val="27"/>
        </w:rPr>
      </w:pPr>
      <w:r w:rsidRPr="00CD6D48">
        <w:rPr>
          <w:b/>
          <w:i/>
          <w:color w:val="C00000"/>
          <w:sz w:val="27"/>
          <w:szCs w:val="27"/>
        </w:rPr>
        <w:t>OS DIAS DE PENITÊNCIA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t>Em Julho de 1984, a Conferência Episcopal, de acordo com o Código de Direito Canónico (</w:t>
      </w:r>
      <w:r w:rsidRPr="00CD6D48">
        <w:rPr>
          <w:i/>
          <w:sz w:val="27"/>
          <w:szCs w:val="27"/>
        </w:rPr>
        <w:t>can. 1253</w:t>
      </w:r>
      <w:r w:rsidRPr="00CD6D48">
        <w:rPr>
          <w:sz w:val="27"/>
          <w:szCs w:val="27"/>
        </w:rPr>
        <w:t xml:space="preserve">), estabeleceu as seguintes </w:t>
      </w:r>
      <w:r w:rsidRPr="00CD6D48">
        <w:rPr>
          <w:b/>
          <w:color w:val="C00000"/>
          <w:sz w:val="27"/>
          <w:szCs w:val="27"/>
        </w:rPr>
        <w:t>normas</w:t>
      </w:r>
      <w:r w:rsidRPr="00CD6D48">
        <w:rPr>
          <w:sz w:val="27"/>
          <w:szCs w:val="27"/>
        </w:rPr>
        <w:t xml:space="preserve"> para o </w:t>
      </w:r>
      <w:r w:rsidRPr="00CD6D48">
        <w:rPr>
          <w:b/>
          <w:color w:val="C00000"/>
          <w:sz w:val="27"/>
          <w:szCs w:val="27"/>
        </w:rPr>
        <w:t>jejum</w:t>
      </w:r>
      <w:r w:rsidRPr="00CD6D48">
        <w:rPr>
          <w:sz w:val="27"/>
          <w:szCs w:val="27"/>
        </w:rPr>
        <w:t xml:space="preserve"> e a </w:t>
      </w:r>
      <w:r w:rsidRPr="00CD6D48">
        <w:rPr>
          <w:b/>
          <w:color w:val="C00000"/>
          <w:sz w:val="27"/>
          <w:szCs w:val="27"/>
        </w:rPr>
        <w:t>abstinência</w:t>
      </w:r>
      <w:r w:rsidRPr="00CD6D48">
        <w:rPr>
          <w:sz w:val="27"/>
          <w:szCs w:val="27"/>
        </w:rPr>
        <w:t xml:space="preserve"> nas Dioceses portuguesas:</w:t>
      </w:r>
    </w:p>
    <w:p w:rsidR="00281EA3" w:rsidRPr="00CD6D48" w:rsidRDefault="00281EA3" w:rsidP="00281EA3">
      <w:pPr>
        <w:pStyle w:val="SemEspaamento"/>
        <w:jc w:val="both"/>
        <w:rPr>
          <w:b/>
          <w:color w:val="7030A0"/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7030A0"/>
          <w:sz w:val="27"/>
          <w:szCs w:val="27"/>
        </w:rPr>
        <w:t>Os tempos penitenciais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1</w:t>
      </w:r>
      <w:r w:rsidRPr="00CD6D48">
        <w:rPr>
          <w:color w:val="FF0000"/>
          <w:sz w:val="27"/>
          <w:szCs w:val="27"/>
        </w:rPr>
        <w:t>.</w:t>
      </w:r>
      <w:r w:rsidRPr="00CD6D48">
        <w:rPr>
          <w:sz w:val="27"/>
          <w:szCs w:val="27"/>
        </w:rPr>
        <w:t xml:space="preserve"> Na pedagogia da Igreja, há tempos em que os cristãos são especialmente convidados à prática da penitência: a Quaresma e todas as Sextas-feiras do ano. A penitência é uma expressão muito significativa da união dos cristãos ao mistério da Cruz de Cristo. Por isso, a Quaresma, enquanto primeiro tempo da celebração anual da Páscoa, e a sexta-feira, enquanto dia da morte do Senhor, sugerem naturalmente a prática da penitência.</w:t>
      </w:r>
    </w:p>
    <w:p w:rsidR="00281EA3" w:rsidRPr="00CD6D48" w:rsidRDefault="00281EA3" w:rsidP="00281EA3">
      <w:pPr>
        <w:pStyle w:val="SemEspaamento"/>
        <w:jc w:val="both"/>
        <w:rPr>
          <w:b/>
          <w:color w:val="7030A0"/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7030A0"/>
          <w:sz w:val="27"/>
          <w:szCs w:val="27"/>
        </w:rPr>
        <w:t>Jejum e abstinência</w:t>
      </w:r>
    </w:p>
    <w:p w:rsidR="00281EA3" w:rsidRPr="00CD6D48" w:rsidRDefault="00281EA3" w:rsidP="00281EA3">
      <w:pPr>
        <w:pStyle w:val="SemEspaamento"/>
        <w:jc w:val="both"/>
        <w:rPr>
          <w:b/>
          <w:color w:val="7030A0"/>
          <w:sz w:val="27"/>
          <w:szCs w:val="27"/>
        </w:rPr>
      </w:pP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b/>
          <w:color w:val="FF0000"/>
          <w:sz w:val="27"/>
          <w:szCs w:val="27"/>
        </w:rPr>
        <w:t>2.</w:t>
      </w:r>
      <w:r w:rsidRPr="00CD6D48">
        <w:rPr>
          <w:sz w:val="27"/>
          <w:szCs w:val="27"/>
        </w:rPr>
        <w:t xml:space="preserve"> O jejum é a forma de penitência que consiste na privação de alimentos. Na disciplina tradicional da Igreja, a concretização do jejum fazia-se limitando a alimentação diária a uma refeição, embora não se excluísse que se pudesse tomar alimentos ligeiros às horas das outras refeições.</w:t>
      </w:r>
    </w:p>
    <w:p w:rsid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t>Ainda que convenha manter-se esta forma tradicional de jejuar, contudo os fiéis poderão cumprir o preceito do jejum privando-se de uma quantidade ou qualidade de alimentos ou bebidas que constituam verdadeira privação ou penitência.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3.</w:t>
      </w:r>
      <w:r w:rsidRPr="00CD6D48">
        <w:rPr>
          <w:sz w:val="27"/>
          <w:szCs w:val="27"/>
        </w:rPr>
        <w:t xml:space="preserve"> A abstinência, por sua vez, consiste na escolha de uma alimentação simples e pobre. A sua concretização na disciplina tradicional da Igreja era a abstenção de carne. Será muito aconselhável manter esta forma de abstinência, particularmente nas sextas-feiras da Quaresma. Mas poderá ser substituída pela privação de outros alimentos e bebidas, sobretudo mais requintados e dispendiosos ou da especial preferência de cada um.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t xml:space="preserve">Contudo, devido à evolução das condições sociais e do género de alimentação, aquela concretização pode não bastar para praticar a abstinência como </w:t>
      </w:r>
      <w:proofErr w:type="spellStart"/>
      <w:r w:rsidRPr="00CD6D48">
        <w:rPr>
          <w:sz w:val="27"/>
          <w:szCs w:val="27"/>
        </w:rPr>
        <w:t>acto</w:t>
      </w:r>
      <w:proofErr w:type="spellEnd"/>
      <w:r w:rsidRPr="00CD6D48">
        <w:rPr>
          <w:sz w:val="27"/>
          <w:szCs w:val="27"/>
        </w:rPr>
        <w:t xml:space="preserve"> penitencial. Lembrem-se os fiéis de que o essencial do espírito de abstinência é o que dizemos acima, ou seja, a escolha de uma alimentação simples e pobre e a renúncia ao luxo e ao esbanjamento. Só assim a abstinência será privação e se revestirá de carácter penitencial.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</w:p>
    <w:p w:rsidR="00281EA3" w:rsidRPr="00CD6D48" w:rsidRDefault="00281EA3" w:rsidP="00281EA3">
      <w:pPr>
        <w:pStyle w:val="SemEspaamento"/>
        <w:jc w:val="both"/>
        <w:rPr>
          <w:b/>
          <w:color w:val="7030A0"/>
          <w:sz w:val="27"/>
          <w:szCs w:val="27"/>
        </w:rPr>
      </w:pPr>
      <w:r w:rsidRPr="00CD6D48">
        <w:rPr>
          <w:b/>
          <w:color w:val="7030A0"/>
          <w:sz w:val="27"/>
          <w:szCs w:val="27"/>
        </w:rPr>
        <w:t>Determinações relativas ao jejum e à abstinência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4.</w:t>
      </w:r>
      <w:r w:rsidRPr="00CD6D48">
        <w:rPr>
          <w:sz w:val="27"/>
          <w:szCs w:val="27"/>
        </w:rPr>
        <w:t xml:space="preserve"> O jejum e a abstinência são obrigatórios em Quarta-Feira de Cinzas e em Sexta-Feira Santa.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b/>
          <w:color w:val="FF0000"/>
          <w:sz w:val="27"/>
          <w:szCs w:val="27"/>
        </w:rPr>
        <w:t>5.</w:t>
      </w:r>
      <w:r w:rsidRPr="00CD6D48">
        <w:rPr>
          <w:sz w:val="27"/>
          <w:szCs w:val="27"/>
        </w:rPr>
        <w:t xml:space="preserve"> A abstinência é obrigatória, no decurso do ano, em todas as sextas-feiras que não coincidam com algum dia enumerado entre as solenidades. Esta forma de penitência reveste-se, no entanto, de significado especial nas sextas-feiras da Quaresma.</w:t>
      </w:r>
      <w:r w:rsidRPr="00CD6D48">
        <w:rPr>
          <w:sz w:val="27"/>
          <w:szCs w:val="27"/>
        </w:rPr>
        <w:br/>
      </w: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lastRenderedPageBreak/>
        <w:t>6.</w:t>
      </w:r>
      <w:r w:rsidRPr="00CD6D48">
        <w:rPr>
          <w:sz w:val="27"/>
          <w:szCs w:val="27"/>
        </w:rPr>
        <w:t xml:space="preserve"> O preceito da abstinência obriga os fiéis a partir dos 14 anos completos.</w:t>
      </w:r>
      <w:r w:rsidRPr="00CD6D48">
        <w:rPr>
          <w:sz w:val="27"/>
          <w:szCs w:val="27"/>
        </w:rPr>
        <w:br/>
        <w:t>O preceito do jejum obriga os fiéis que tenham feito 18 anos até terem completado os 59.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t>Aos que tiverem menos de 14 anos, deverão os pastores de almas e os pais procurar atentamente formá-los no verdadeiro sentido da penitência, sugerindo-lhes outros modos de a exprimirem.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7.</w:t>
      </w:r>
      <w:r w:rsidRPr="00CD6D48">
        <w:rPr>
          <w:sz w:val="27"/>
          <w:szCs w:val="27"/>
        </w:rPr>
        <w:t xml:space="preserve"> As presentes determinações sobre o jejum e a abstinência apenas se aplicam em condições normais de saúde, estando os doentes, por conseguinte, dispensados da sua observância.</w:t>
      </w:r>
    </w:p>
    <w:p w:rsidR="00281EA3" w:rsidRPr="00CD6D48" w:rsidRDefault="00281EA3" w:rsidP="00281EA3">
      <w:pPr>
        <w:pStyle w:val="SemEspaamento"/>
        <w:jc w:val="both"/>
        <w:rPr>
          <w:b/>
          <w:color w:val="7030A0"/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7030A0"/>
          <w:sz w:val="27"/>
          <w:szCs w:val="27"/>
        </w:rPr>
        <w:t>Determinações relativas a outras penitências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8.</w:t>
      </w:r>
      <w:r w:rsidRPr="00CD6D48">
        <w:rPr>
          <w:sz w:val="27"/>
          <w:szCs w:val="27"/>
        </w:rPr>
        <w:t xml:space="preserve"> Nas sextas-feiras poderão os fiéis cumprir o preceito penitencial, quer fazendo penitência como acima ficou dito, quer escolhendo formas de penitência reconhecidas pela tradição, tais como a oração e a esmola, ou mesmo optar por outras formas, de escolha pessoal, como, por exemplo, privar-se de fumar, de algum </w:t>
      </w:r>
      <w:proofErr w:type="spellStart"/>
      <w:r w:rsidRPr="00CD6D48">
        <w:rPr>
          <w:sz w:val="27"/>
          <w:szCs w:val="27"/>
        </w:rPr>
        <w:t>espectáculo</w:t>
      </w:r>
      <w:proofErr w:type="spellEnd"/>
      <w:r w:rsidRPr="00CD6D48">
        <w:rPr>
          <w:sz w:val="27"/>
          <w:szCs w:val="27"/>
        </w:rPr>
        <w:t>, etc.</w:t>
      </w:r>
    </w:p>
    <w:p w:rsid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9.</w:t>
      </w:r>
      <w:r w:rsidRPr="00CD6D48">
        <w:rPr>
          <w:sz w:val="27"/>
          <w:szCs w:val="27"/>
        </w:rPr>
        <w:t xml:space="preserve"> No que respeita à oração, poderão cumprir o preceito penitencial através de exercícios de oração mais prolongados e generosos, tais como: o exercício da via-sacra, a recitação do rosário, a recitação de Laudes e Vésperas da Liturgia das Horas, a participação na Santa Eucaristia, uma leitura prolongada da Sagrada Escritura.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10.</w:t>
      </w:r>
      <w:r w:rsidRPr="00CD6D48">
        <w:rPr>
          <w:sz w:val="27"/>
          <w:szCs w:val="27"/>
        </w:rPr>
        <w:t xml:space="preserve"> No que respeita à esmola, poderão cumprir o preceito penitencial através da partilha de bens materiais. Essa partilha deve ser proporcional às posses de cada um e deve significar uma verdadeira renúncia a algo do que se tem ou a gastos dispensáveis ou supérfluos.</w:t>
      </w:r>
    </w:p>
    <w:p w:rsid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11.</w:t>
      </w:r>
      <w:r w:rsidRPr="00CD6D48">
        <w:rPr>
          <w:sz w:val="27"/>
          <w:szCs w:val="27"/>
        </w:rPr>
        <w:t xml:space="preserve"> Os cristãos que escolherem como forma de cumprimento do preceito da penitência uma participação pecuniária orientarão o seu contributo penitencial para uma finalidade determinada, a indicar pelo Bispo diocesano.</w:t>
      </w:r>
    </w:p>
    <w:p w:rsidR="00281EA3" w:rsidRP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12.</w:t>
      </w:r>
      <w:r w:rsidRPr="00CD6D48">
        <w:rPr>
          <w:sz w:val="27"/>
          <w:szCs w:val="27"/>
        </w:rPr>
        <w:t xml:space="preserve"> Os cristãos depositarão o seu contributo penitencial em lugar devidamente identificado em cada igreja ou capela, ou através da Cúria diocesana. Na Quaresma, todavia, em vez desta modalidade ou concomitantemente com ela, o contributo poderá ser entregue no ofertório da Missa dominical, em dia para o efeito fixado.</w:t>
      </w:r>
    </w:p>
    <w:p w:rsidR="00CD6D48" w:rsidRPr="00CD6D48" w:rsidRDefault="00281EA3" w:rsidP="00281EA3">
      <w:pPr>
        <w:pStyle w:val="SemEspaamento"/>
        <w:jc w:val="both"/>
        <w:rPr>
          <w:b/>
          <w:color w:val="7030A0"/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7030A0"/>
          <w:sz w:val="27"/>
          <w:szCs w:val="27"/>
        </w:rPr>
        <w:t>As formas de penitência não se excluem mas completam-se mutuamente</w:t>
      </w:r>
    </w:p>
    <w:p w:rsidR="00CD6D48" w:rsidRDefault="00281EA3" w:rsidP="00281EA3">
      <w:pPr>
        <w:pStyle w:val="SemEspaamento"/>
        <w:jc w:val="both"/>
        <w:rPr>
          <w:sz w:val="27"/>
          <w:szCs w:val="27"/>
        </w:rPr>
      </w:pPr>
      <w:r w:rsidRPr="00CD6D48">
        <w:rPr>
          <w:sz w:val="27"/>
          <w:szCs w:val="27"/>
        </w:rPr>
        <w:br/>
      </w:r>
      <w:r w:rsidRPr="00CD6D48">
        <w:rPr>
          <w:b/>
          <w:color w:val="FF0000"/>
          <w:sz w:val="27"/>
          <w:szCs w:val="27"/>
        </w:rPr>
        <w:t>13.</w:t>
      </w:r>
      <w:r w:rsidRPr="00CD6D48">
        <w:rPr>
          <w:sz w:val="27"/>
          <w:szCs w:val="27"/>
        </w:rPr>
        <w:t xml:space="preserve"> É aconselhável que, no cumprimento do preceito penitencial, os cristãos não se limitem a uma só forma de penitência, mas antes as pratiquem todas, pois o jejum, a oração e a esmola completam-se mutuamente, em ordem à caridade</w:t>
      </w:r>
      <w:r w:rsidR="00CD6D48">
        <w:rPr>
          <w:sz w:val="27"/>
          <w:szCs w:val="27"/>
        </w:rPr>
        <w:t>.</w:t>
      </w:r>
    </w:p>
    <w:p w:rsidR="00C64E4C" w:rsidRPr="00CD6D48" w:rsidRDefault="00281EA3" w:rsidP="00CD6D48">
      <w:pPr>
        <w:pStyle w:val="SemEspaamento"/>
        <w:jc w:val="right"/>
        <w:rPr>
          <w:i/>
          <w:sz w:val="27"/>
          <w:szCs w:val="27"/>
        </w:rPr>
      </w:pPr>
      <w:r w:rsidRPr="00CD6D48">
        <w:rPr>
          <w:sz w:val="27"/>
          <w:szCs w:val="27"/>
        </w:rPr>
        <w:t>(</w:t>
      </w:r>
      <w:r w:rsidRPr="00CD6D48">
        <w:rPr>
          <w:i/>
          <w:sz w:val="27"/>
          <w:szCs w:val="27"/>
        </w:rPr>
        <w:t>Normas publicadas com data de 28 de Janeiro de 1985).</w:t>
      </w:r>
    </w:p>
    <w:sectPr w:rsidR="00C64E4C" w:rsidRPr="00CD6D48" w:rsidSect="00CD6D48">
      <w:footerReference w:type="default" r:id="rId6"/>
      <w:pgSz w:w="11906" w:h="16838"/>
      <w:pgMar w:top="568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C0" w:rsidRDefault="00603AC0" w:rsidP="00281EA3">
      <w:pPr>
        <w:spacing w:before="0" w:after="0" w:line="240" w:lineRule="auto"/>
      </w:pPr>
      <w:r>
        <w:separator/>
      </w:r>
    </w:p>
  </w:endnote>
  <w:endnote w:type="continuationSeparator" w:id="0">
    <w:p w:rsidR="00603AC0" w:rsidRDefault="00603AC0" w:rsidP="00281E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5907"/>
      <w:docPartObj>
        <w:docPartGallery w:val="Page Numbers (Bottom of Page)"/>
        <w:docPartUnique/>
      </w:docPartObj>
    </w:sdtPr>
    <w:sdtContent>
      <w:p w:rsidR="00281EA3" w:rsidRDefault="00281EA3">
        <w:pPr>
          <w:pStyle w:val="Rodap"/>
          <w:jc w:val="right"/>
        </w:pPr>
        <w:fldSimple w:instr=" PAGE   \* MERGEFORMAT ">
          <w:r w:rsidR="00CD6D48">
            <w:rPr>
              <w:noProof/>
            </w:rPr>
            <w:t>1</w:t>
          </w:r>
        </w:fldSimple>
      </w:p>
    </w:sdtContent>
  </w:sdt>
  <w:p w:rsidR="00281EA3" w:rsidRDefault="00281E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C0" w:rsidRDefault="00603AC0" w:rsidP="00281EA3">
      <w:pPr>
        <w:spacing w:before="0" w:after="0" w:line="240" w:lineRule="auto"/>
      </w:pPr>
      <w:r>
        <w:separator/>
      </w:r>
    </w:p>
  </w:footnote>
  <w:footnote w:type="continuationSeparator" w:id="0">
    <w:p w:rsidR="00603AC0" w:rsidRDefault="00603AC0" w:rsidP="00281EA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A3"/>
    <w:rsid w:val="00244C8B"/>
    <w:rsid w:val="00281EA3"/>
    <w:rsid w:val="00603AC0"/>
    <w:rsid w:val="007927E3"/>
    <w:rsid w:val="00C64E4C"/>
    <w:rsid w:val="00CD6D48"/>
    <w:rsid w:val="00DB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2D"/>
    <w:pPr>
      <w:spacing w:before="200" w:after="200" w:line="276" w:lineRule="auto"/>
    </w:pPr>
    <w:rPr>
      <w:lang w:eastAsia="en-US" w:bidi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DB0C2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eastAsia="pt-PT" w:bidi="ar-SA"/>
    </w:rPr>
  </w:style>
  <w:style w:type="paragraph" w:styleId="Ttulo2">
    <w:name w:val="heading 2"/>
    <w:basedOn w:val="Normal"/>
    <w:next w:val="Normal"/>
    <w:link w:val="Ttulo2Carcter"/>
    <w:uiPriority w:val="9"/>
    <w:qFormat/>
    <w:rsid w:val="00DB0C2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eastAsia="pt-PT" w:bidi="ar-SA"/>
    </w:rPr>
  </w:style>
  <w:style w:type="paragraph" w:styleId="Ttulo3">
    <w:name w:val="heading 3"/>
    <w:basedOn w:val="Normal"/>
    <w:next w:val="Normal"/>
    <w:link w:val="Ttulo3Carcter"/>
    <w:uiPriority w:val="9"/>
    <w:qFormat/>
    <w:rsid w:val="00DB0C2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eastAsia="pt-PT" w:bidi="ar-SA"/>
    </w:rPr>
  </w:style>
  <w:style w:type="paragraph" w:styleId="Ttulo4">
    <w:name w:val="heading 4"/>
    <w:basedOn w:val="Normal"/>
    <w:next w:val="Normal"/>
    <w:link w:val="Ttulo4Carcter"/>
    <w:uiPriority w:val="9"/>
    <w:qFormat/>
    <w:rsid w:val="00DB0C2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t-PT" w:bidi="ar-SA"/>
    </w:rPr>
  </w:style>
  <w:style w:type="paragraph" w:styleId="Ttulo5">
    <w:name w:val="heading 5"/>
    <w:basedOn w:val="Normal"/>
    <w:next w:val="Normal"/>
    <w:link w:val="Ttulo5Carcter"/>
    <w:uiPriority w:val="9"/>
    <w:qFormat/>
    <w:rsid w:val="00DB0C2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t-PT" w:bidi="ar-SA"/>
    </w:rPr>
  </w:style>
  <w:style w:type="paragraph" w:styleId="Ttulo6">
    <w:name w:val="heading 6"/>
    <w:basedOn w:val="Normal"/>
    <w:next w:val="Normal"/>
    <w:link w:val="Ttulo6Carcter"/>
    <w:uiPriority w:val="9"/>
    <w:qFormat/>
    <w:rsid w:val="00DB0C2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t-PT" w:bidi="ar-SA"/>
    </w:rPr>
  </w:style>
  <w:style w:type="paragraph" w:styleId="Ttulo7">
    <w:name w:val="heading 7"/>
    <w:basedOn w:val="Normal"/>
    <w:next w:val="Normal"/>
    <w:link w:val="Ttulo7Carcter"/>
    <w:uiPriority w:val="9"/>
    <w:qFormat/>
    <w:rsid w:val="00DB0C2D"/>
    <w:pPr>
      <w:spacing w:before="300" w:after="0"/>
      <w:outlineLvl w:val="6"/>
    </w:pPr>
    <w:rPr>
      <w:caps/>
      <w:color w:val="365F91"/>
      <w:spacing w:val="10"/>
      <w:lang w:eastAsia="pt-PT" w:bidi="ar-SA"/>
    </w:rPr>
  </w:style>
  <w:style w:type="paragraph" w:styleId="Ttulo8">
    <w:name w:val="heading 8"/>
    <w:basedOn w:val="Normal"/>
    <w:next w:val="Normal"/>
    <w:link w:val="Ttulo8Carcter"/>
    <w:uiPriority w:val="9"/>
    <w:qFormat/>
    <w:rsid w:val="00DB0C2D"/>
    <w:pPr>
      <w:spacing w:before="300" w:after="0"/>
      <w:outlineLvl w:val="7"/>
    </w:pPr>
    <w:rPr>
      <w:caps/>
      <w:spacing w:val="10"/>
      <w:sz w:val="18"/>
      <w:szCs w:val="18"/>
      <w:lang w:eastAsia="pt-PT" w:bidi="ar-SA"/>
    </w:rPr>
  </w:style>
  <w:style w:type="paragraph" w:styleId="Ttulo9">
    <w:name w:val="heading 9"/>
    <w:basedOn w:val="Normal"/>
    <w:next w:val="Normal"/>
    <w:link w:val="Ttulo9Carcter"/>
    <w:uiPriority w:val="9"/>
    <w:qFormat/>
    <w:rsid w:val="00DB0C2D"/>
    <w:pPr>
      <w:spacing w:before="300" w:after="0"/>
      <w:outlineLvl w:val="8"/>
    </w:pPr>
    <w:rPr>
      <w:i/>
      <w:caps/>
      <w:spacing w:val="10"/>
      <w:sz w:val="18"/>
      <w:szCs w:val="18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B0C2D"/>
    <w:rPr>
      <w:b/>
      <w:bCs/>
      <w:caps/>
      <w:color w:val="FFFFFF"/>
      <w:spacing w:val="15"/>
      <w:shd w:val="clear" w:color="auto" w:fill="4F81BD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B0C2D"/>
    <w:rPr>
      <w:caps/>
      <w:spacing w:val="15"/>
      <w:shd w:val="clear" w:color="auto" w:fill="DBE5F1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B0C2D"/>
    <w:rPr>
      <w:caps/>
      <w:color w:val="243F60"/>
      <w:spacing w:val="15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B0C2D"/>
    <w:rPr>
      <w:caps/>
      <w:color w:val="365F91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B0C2D"/>
    <w:rPr>
      <w:caps/>
      <w:color w:val="365F91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DB0C2D"/>
    <w:rPr>
      <w:caps/>
      <w:color w:val="365F91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DB0C2D"/>
    <w:rPr>
      <w:caps/>
      <w:color w:val="365F91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DB0C2D"/>
    <w:rPr>
      <w:caps/>
      <w:spacing w:val="10"/>
      <w:sz w:val="18"/>
      <w:szCs w:val="18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DB0C2D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qFormat/>
    <w:rsid w:val="00DB0C2D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DB0C2D"/>
    <w:pPr>
      <w:spacing w:before="720"/>
    </w:pPr>
    <w:rPr>
      <w:caps/>
      <w:color w:val="4F81BD"/>
      <w:spacing w:val="10"/>
      <w:kern w:val="28"/>
      <w:sz w:val="52"/>
      <w:szCs w:val="52"/>
      <w:lang w:eastAsia="pt-PT" w:bidi="ar-SA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0C2D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B0C2D"/>
    <w:pPr>
      <w:spacing w:after="1000" w:line="240" w:lineRule="auto"/>
    </w:pPr>
    <w:rPr>
      <w:caps/>
      <w:color w:val="595959"/>
      <w:spacing w:val="10"/>
      <w:sz w:val="24"/>
      <w:szCs w:val="24"/>
      <w:lang w:eastAsia="pt-PT" w:bidi="ar-SA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0C2D"/>
    <w:rPr>
      <w:caps/>
      <w:color w:val="595959"/>
      <w:spacing w:val="10"/>
      <w:sz w:val="24"/>
      <w:szCs w:val="24"/>
    </w:rPr>
  </w:style>
  <w:style w:type="character" w:styleId="Forte">
    <w:name w:val="Strong"/>
    <w:uiPriority w:val="22"/>
    <w:qFormat/>
    <w:rsid w:val="00DB0C2D"/>
    <w:rPr>
      <w:b/>
      <w:bCs/>
    </w:rPr>
  </w:style>
  <w:style w:type="character" w:styleId="nfase">
    <w:name w:val="Emphasis"/>
    <w:uiPriority w:val="20"/>
    <w:qFormat/>
    <w:rsid w:val="00DB0C2D"/>
    <w:rPr>
      <w:caps/>
      <w:color w:val="243F60"/>
      <w:spacing w:val="5"/>
    </w:rPr>
  </w:style>
  <w:style w:type="paragraph" w:styleId="SemEspaamento">
    <w:name w:val="No Spacing"/>
    <w:basedOn w:val="Normal"/>
    <w:link w:val="SemEspaamentoCarcter"/>
    <w:uiPriority w:val="1"/>
    <w:qFormat/>
    <w:rsid w:val="00DB0C2D"/>
    <w:pPr>
      <w:spacing w:before="0" w:after="0" w:line="240" w:lineRule="auto"/>
    </w:pPr>
    <w:rPr>
      <w:lang w:eastAsia="pt-PT" w:bidi="ar-S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B0C2D"/>
  </w:style>
  <w:style w:type="paragraph" w:styleId="PargrafodaLista">
    <w:name w:val="List Paragraph"/>
    <w:basedOn w:val="Normal"/>
    <w:uiPriority w:val="34"/>
    <w:qFormat/>
    <w:rsid w:val="00DB0C2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B0C2D"/>
    <w:rPr>
      <w:i/>
      <w:iCs/>
      <w:lang w:eastAsia="pt-PT" w:bidi="ar-SA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B0C2D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B0C2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eastAsia="pt-PT" w:bidi="ar-SA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B0C2D"/>
    <w:rPr>
      <w:i/>
      <w:iCs/>
      <w:color w:val="4F81BD"/>
      <w:sz w:val="20"/>
      <w:szCs w:val="20"/>
    </w:rPr>
  </w:style>
  <w:style w:type="character" w:styleId="nfaseDiscreto">
    <w:name w:val="Subtle Emphasis"/>
    <w:uiPriority w:val="19"/>
    <w:qFormat/>
    <w:rsid w:val="00DB0C2D"/>
    <w:rPr>
      <w:i/>
      <w:iCs/>
      <w:color w:val="243F60"/>
    </w:rPr>
  </w:style>
  <w:style w:type="character" w:styleId="nfaseIntenso">
    <w:name w:val="Intense Emphasis"/>
    <w:uiPriority w:val="21"/>
    <w:qFormat/>
    <w:rsid w:val="00DB0C2D"/>
    <w:rPr>
      <w:b/>
      <w:bCs/>
      <w:caps/>
      <w:color w:val="243F60"/>
      <w:spacing w:val="10"/>
    </w:rPr>
  </w:style>
  <w:style w:type="character" w:styleId="RefernciaDiscreta">
    <w:name w:val="Subtle Reference"/>
    <w:uiPriority w:val="31"/>
    <w:qFormat/>
    <w:rsid w:val="00DB0C2D"/>
    <w:rPr>
      <w:b/>
      <w:bCs/>
      <w:color w:val="4F81BD"/>
    </w:rPr>
  </w:style>
  <w:style w:type="character" w:styleId="RefernciaIntensa">
    <w:name w:val="Intense Reference"/>
    <w:uiPriority w:val="32"/>
    <w:qFormat/>
    <w:rsid w:val="00DB0C2D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DB0C2D"/>
    <w:rPr>
      <w:b/>
      <w:bCs/>
      <w:i/>
      <w:iCs/>
      <w:spacing w:val="9"/>
    </w:rPr>
  </w:style>
  <w:style w:type="paragraph" w:styleId="Ttulodondice">
    <w:name w:val="TOC Heading"/>
    <w:basedOn w:val="Ttulo1"/>
    <w:next w:val="Normal"/>
    <w:uiPriority w:val="39"/>
    <w:qFormat/>
    <w:rsid w:val="00DB0C2D"/>
    <w:pPr>
      <w:outlineLvl w:val="9"/>
    </w:pPr>
    <w:rPr>
      <w:sz w:val="22"/>
      <w:szCs w:val="22"/>
      <w:lang w:val="en-US" w:eastAsia="en-US" w:bidi="en-US"/>
    </w:rPr>
  </w:style>
  <w:style w:type="paragraph" w:styleId="Cabealho">
    <w:name w:val="header"/>
    <w:basedOn w:val="Normal"/>
    <w:link w:val="CabealhoCarcter"/>
    <w:uiPriority w:val="99"/>
    <w:semiHidden/>
    <w:unhideWhenUsed/>
    <w:rsid w:val="00281EA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81EA3"/>
    <w:rPr>
      <w:lang w:eastAsia="en-US" w:bidi="en-US"/>
    </w:rPr>
  </w:style>
  <w:style w:type="paragraph" w:styleId="Rodap">
    <w:name w:val="footer"/>
    <w:basedOn w:val="Normal"/>
    <w:link w:val="RodapCarcter"/>
    <w:uiPriority w:val="99"/>
    <w:unhideWhenUsed/>
    <w:rsid w:val="00281EA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1EA3"/>
    <w:rPr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Pároco</dc:creator>
  <cp:keywords/>
  <dc:description/>
  <cp:lastModifiedBy>Pároco</cp:lastModifiedBy>
  <cp:revision>2</cp:revision>
  <dcterms:created xsi:type="dcterms:W3CDTF">2013-03-04T00:08:00Z</dcterms:created>
  <dcterms:modified xsi:type="dcterms:W3CDTF">2013-03-04T00:17:00Z</dcterms:modified>
</cp:coreProperties>
</file>